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77788F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77788F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15728128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4CA14391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6E729F">
        <w:rPr>
          <w:sz w:val="20"/>
        </w:rPr>
        <w:t>Capo di ponte</w:t>
      </w:r>
      <w:r w:rsidR="00DC3B31" w:rsidRPr="00275CF6">
        <w:rPr>
          <w:sz w:val="20"/>
        </w:rPr>
        <w:t xml:space="preserve"> </w:t>
      </w:r>
    </w:p>
    <w:p w14:paraId="343585B9" w14:textId="742EACB7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6635BA">
        <w:rPr>
          <w:sz w:val="20"/>
        </w:rPr>
        <w:t>Via</w:t>
      </w:r>
      <w:r w:rsidR="008E1A83" w:rsidRPr="00275CF6">
        <w:rPr>
          <w:sz w:val="20"/>
        </w:rPr>
        <w:t xml:space="preserve"> </w:t>
      </w:r>
      <w:r w:rsidR="0077788F">
        <w:rPr>
          <w:sz w:val="20"/>
        </w:rPr>
        <w:t>Stazione</w:t>
      </w:r>
      <w:r w:rsidR="008E1A83" w:rsidRPr="00275CF6">
        <w:rPr>
          <w:sz w:val="20"/>
        </w:rPr>
        <w:t xml:space="preserve"> - 250</w:t>
      </w:r>
      <w:r w:rsidR="0077788F">
        <w:rPr>
          <w:sz w:val="20"/>
        </w:rPr>
        <w:t>44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 xml:space="preserve">– </w:t>
      </w:r>
      <w:r w:rsidR="006E729F">
        <w:rPr>
          <w:sz w:val="20"/>
        </w:rPr>
        <w:t>Capo di ponte</w:t>
      </w:r>
      <w:r w:rsidR="006E729F" w:rsidRPr="00275CF6">
        <w:rPr>
          <w:sz w:val="20"/>
        </w:rPr>
        <w:t xml:space="preserve"> </w:t>
      </w:r>
      <w:r w:rsidR="008E1A83" w:rsidRPr="00275CF6">
        <w:rPr>
          <w:sz w:val="20"/>
        </w:rPr>
        <w:t xml:space="preserve">(BS) </w:t>
      </w:r>
    </w:p>
    <w:p w14:paraId="5A409134" w14:textId="65537139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B70FB1" w:rsidRPr="000527E1">
          <w:rPr>
            <w:rStyle w:val="Collegamentoipertestuale"/>
            <w:sz w:val="20"/>
            <w:lang w:val="en-US"/>
          </w:rPr>
          <w:t>info@comune.capo-di-ponte.bs.it</w:t>
        </w:r>
      </w:hyperlink>
      <w:bookmarkEnd w:id="2"/>
    </w:p>
    <w:p w14:paraId="5A409135" w14:textId="27884AF7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</w:t>
      </w:r>
      <w:r w:rsidR="00B70FB1">
        <w:rPr>
          <w:rFonts w:ascii="Arial MT"/>
        </w:rPr>
        <w:t>64</w:t>
      </w:r>
      <w:r w:rsidR="00591C93">
        <w:rPr>
          <w:rFonts w:ascii="Arial MT"/>
        </w:rPr>
        <w:t>/</w:t>
      </w:r>
      <w:r w:rsidR="00B70FB1">
        <w:rPr>
          <w:rFonts w:ascii="Arial MT"/>
        </w:rPr>
        <w:t>42001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6020757E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6E729F" w:rsidRPr="000527E1">
          <w:rPr>
            <w:rStyle w:val="Collegamentoipertestuale"/>
            <w:rFonts w:ascii="Arial MT" w:hAnsi="Arial MT"/>
            <w:spacing w:val="-1"/>
          </w:rPr>
          <w:t>rpd@comune.capo-di-ponte.bs.it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18E557AF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B70FB1" w:rsidRPr="000527E1">
          <w:rPr>
            <w:rStyle w:val="Collegamentoipertestuale"/>
          </w:rPr>
          <w:t>info@comune.capo-di-ponte.bs.it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C7FCD"/>
    <w:rsid w:val="001000F8"/>
    <w:rsid w:val="00160225"/>
    <w:rsid w:val="001612D0"/>
    <w:rsid w:val="00210D8B"/>
    <w:rsid w:val="00275CF6"/>
    <w:rsid w:val="00444E7E"/>
    <w:rsid w:val="004473FE"/>
    <w:rsid w:val="00591C93"/>
    <w:rsid w:val="006635BA"/>
    <w:rsid w:val="006D0CD6"/>
    <w:rsid w:val="006E729F"/>
    <w:rsid w:val="0077788F"/>
    <w:rsid w:val="008E115A"/>
    <w:rsid w:val="008E1A83"/>
    <w:rsid w:val="00B70FB1"/>
    <w:rsid w:val="00B7175A"/>
    <w:rsid w:val="00B77040"/>
    <w:rsid w:val="00BA473E"/>
    <w:rsid w:val="00C34835"/>
    <w:rsid w:val="00D81E55"/>
    <w:rsid w:val="00DC3B31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capo-di-ponte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capo-di-ponte.bs.it" TargetMode="External"/><Relationship Id="rId5" Type="http://schemas.openxmlformats.org/officeDocument/2006/relationships/hyperlink" Target="mailto:info@comune.capo-di-ponte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680</Words>
  <Characters>3881</Characters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2024-02-01T14:23:00Z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